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322" w:rsidRDefault="005C21D7" w:rsidP="005C21D7">
      <w:pPr>
        <w:pStyle w:val="Heading1"/>
        <w:jc w:val="center"/>
        <w:rPr>
          <w:sz w:val="44"/>
          <w:szCs w:val="44"/>
          <w:u w:val="wave"/>
        </w:rPr>
      </w:pPr>
      <w:r>
        <w:rPr>
          <w:sz w:val="44"/>
          <w:szCs w:val="44"/>
        </w:rPr>
        <w:tab/>
      </w:r>
      <w:r>
        <w:rPr>
          <w:sz w:val="44"/>
          <w:szCs w:val="44"/>
          <w:u w:val="wave"/>
        </w:rPr>
        <w:t>Bazinul hidrografic al fluviului Volga</w:t>
      </w:r>
    </w:p>
    <w:p w:rsidR="005C21D7" w:rsidRDefault="005C21D7" w:rsidP="005C21D7"/>
    <w:p w:rsidR="005C21D7" w:rsidRDefault="008F3577" w:rsidP="005C21D7">
      <w:pPr>
        <w:spacing w:line="240" w:lineRule="auto"/>
        <w:ind w:firstLine="432"/>
        <w:rPr>
          <w:sz w:val="36"/>
          <w:szCs w:val="36"/>
        </w:rPr>
      </w:pPr>
      <w:r>
        <w:rPr>
          <w:noProof/>
          <w:sz w:val="36"/>
          <w:szCs w:val="36"/>
        </w:rPr>
        <w:drawing>
          <wp:anchor distT="0" distB="0" distL="114300" distR="114300" simplePos="0" relativeHeight="251658240" behindDoc="0" locked="0" layoutInCell="1" allowOverlap="1" wp14:anchorId="5F79EC02" wp14:editId="635FEFD3">
            <wp:simplePos x="0" y="0"/>
            <wp:positionH relativeFrom="margin">
              <wp:posOffset>-100330</wp:posOffset>
            </wp:positionH>
            <wp:positionV relativeFrom="margin">
              <wp:posOffset>1449705</wp:posOffset>
            </wp:positionV>
            <wp:extent cx="2365375" cy="2365375"/>
            <wp:effectExtent l="171450" t="171450" r="377825" b="3587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garivermap.png"/>
                    <pic:cNvPicPr/>
                  </pic:nvPicPr>
                  <pic:blipFill>
                    <a:blip r:embed="rId8">
                      <a:extLst>
                        <a:ext uri="{28A0092B-C50C-407E-A947-70E740481C1C}">
                          <a14:useLocalDpi xmlns:a14="http://schemas.microsoft.com/office/drawing/2010/main" val="0"/>
                        </a:ext>
                      </a:extLst>
                    </a:blip>
                    <a:stretch>
                      <a:fillRect/>
                    </a:stretch>
                  </pic:blipFill>
                  <pic:spPr>
                    <a:xfrm>
                      <a:off x="0" y="0"/>
                      <a:ext cx="2365375" cy="23653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C21D7" w:rsidRPr="005C21D7">
        <w:rPr>
          <w:b/>
          <w:i/>
          <w:sz w:val="36"/>
          <w:szCs w:val="36"/>
        </w:rPr>
        <w:t>Volga</w:t>
      </w:r>
      <w:r w:rsidR="005C21D7" w:rsidRPr="005C21D7">
        <w:rPr>
          <w:sz w:val="36"/>
          <w:szCs w:val="36"/>
        </w:rPr>
        <w:t xml:space="preserve"> este cel mai lung fluviu din Europa, aflat în totalitate pe teritoriul Rusiei. Volga izvorăște din Podișul Valdai, situat în nord-vestul Moscovei, și are un curs de 3.690 km, fiind inima celui mai mare complex hidrografic al continentului. Volga este al 19-lea fluviu din lume ca lungime, vărsându-se în Marea Caspică, 88 km la sud de orașul Astrahan. La vărsare formează o uriașă deltă. Cursul său străbate cea mai bine populată și mai dezvoltată regiune a Rusiei. Pe cursul său s-au construit nouă mari hidrocentrale.</w:t>
      </w:r>
    </w:p>
    <w:p w:rsidR="005C21D7" w:rsidRPr="005C21D7" w:rsidRDefault="005C21D7" w:rsidP="005C21D7">
      <w:pPr>
        <w:pStyle w:val="ListParagraph"/>
        <w:numPr>
          <w:ilvl w:val="0"/>
          <w:numId w:val="1"/>
        </w:numPr>
        <w:spacing w:line="240" w:lineRule="auto"/>
        <w:rPr>
          <w:b/>
          <w:sz w:val="36"/>
          <w:szCs w:val="36"/>
        </w:rPr>
      </w:pPr>
      <w:r w:rsidRPr="005C21D7">
        <w:rPr>
          <w:b/>
          <w:sz w:val="36"/>
          <w:szCs w:val="36"/>
        </w:rPr>
        <w:t>Geografie</w:t>
      </w:r>
    </w:p>
    <w:p w:rsidR="005C21D7" w:rsidRPr="005C21D7" w:rsidRDefault="005C21D7" w:rsidP="005C21D7">
      <w:pPr>
        <w:spacing w:line="240" w:lineRule="auto"/>
        <w:ind w:firstLine="432"/>
        <w:rPr>
          <w:sz w:val="36"/>
          <w:szCs w:val="36"/>
        </w:rPr>
      </w:pPr>
      <w:r w:rsidRPr="005C21D7">
        <w:rPr>
          <w:sz w:val="36"/>
          <w:szCs w:val="36"/>
        </w:rPr>
        <w:t xml:space="preserve">Volga este cel mai mare fluviu din Europa din punct de vedere al lungimii, al revărsării și al bazinului de colectare. Volga este considerat râul național al Rusiei și traversează 11 dintre cele mai mari 20 de orașe ale Rusiei. În Rusia, Volga este cunoscută sub numele de „Bолга” cuvânt ce este înrudit cu un cuvânt slavic și </w:t>
      </w:r>
      <w:r>
        <w:rPr>
          <w:sz w:val="36"/>
          <w:szCs w:val="36"/>
        </w:rPr>
        <w:t>anume „umezeala”, „umiditate”.</w:t>
      </w:r>
    </w:p>
    <w:p w:rsidR="005C21D7" w:rsidRPr="005C21D7" w:rsidRDefault="005C21D7" w:rsidP="005C21D7">
      <w:pPr>
        <w:spacing w:line="240" w:lineRule="auto"/>
        <w:ind w:firstLine="432"/>
        <w:rPr>
          <w:sz w:val="36"/>
          <w:szCs w:val="36"/>
        </w:rPr>
      </w:pPr>
      <w:r w:rsidRPr="005C21D7">
        <w:rPr>
          <w:sz w:val="36"/>
          <w:szCs w:val="36"/>
        </w:rPr>
        <w:t xml:space="preserve">Fluviul Volga aparține bazinului Mării Caspice. Izvorăște din Dealurile Valdai, la 225 metri deasupra nivelului mării, la N-V </w:t>
      </w:r>
      <w:bookmarkStart w:id="0" w:name="_GoBack"/>
      <w:bookmarkEnd w:id="0"/>
      <w:r w:rsidRPr="005C21D7">
        <w:rPr>
          <w:sz w:val="36"/>
          <w:szCs w:val="36"/>
        </w:rPr>
        <w:t xml:space="preserve">de </w:t>
      </w:r>
      <w:r w:rsidRPr="005C21D7">
        <w:rPr>
          <w:sz w:val="36"/>
          <w:szCs w:val="36"/>
        </w:rPr>
        <w:lastRenderedPageBreak/>
        <w:t>Moscova și la aproximativ 320 de kilometri S-E de Sankt Petersburg. Volga trece la est de Lacul Sterj, Tver, Dubna, Rîbinsk, Iaroslavl, Nijni Novgorod și Kazan. De acolo se îndreaptă spre sud și trece pe lânga Ulianovsk, Togliatti, Samara, Saratov și Volgograd, apoi se varsă în Marea Caspică, lângă Astrahan, care se află la 28 de metri sub nivelul m</w:t>
      </w:r>
      <w:r>
        <w:rPr>
          <w:sz w:val="36"/>
          <w:szCs w:val="36"/>
        </w:rPr>
        <w:t>ării.</w:t>
      </w:r>
    </w:p>
    <w:p w:rsidR="005C21D7" w:rsidRPr="005C21D7" w:rsidRDefault="005C21D7" w:rsidP="005C21D7">
      <w:pPr>
        <w:spacing w:line="240" w:lineRule="auto"/>
        <w:ind w:firstLine="432"/>
        <w:rPr>
          <w:sz w:val="36"/>
          <w:szCs w:val="36"/>
        </w:rPr>
      </w:pPr>
      <w:r w:rsidRPr="005C21D7">
        <w:rPr>
          <w:sz w:val="36"/>
          <w:szCs w:val="36"/>
        </w:rPr>
        <w:t xml:space="preserve">Cea mai strategică întorsură a Volgăi este atunci când se îndreaptă către Don (unul din cele mai mari râuri al Rusiei). Volgograd, fostul </w:t>
      </w:r>
      <w:r>
        <w:rPr>
          <w:sz w:val="36"/>
          <w:szCs w:val="36"/>
        </w:rPr>
        <w:t>Stalingrad este localizat aici.</w:t>
      </w:r>
    </w:p>
    <w:p w:rsidR="005C21D7" w:rsidRDefault="005C21D7" w:rsidP="005C21D7">
      <w:pPr>
        <w:spacing w:line="240" w:lineRule="auto"/>
        <w:ind w:firstLine="432"/>
        <w:rPr>
          <w:sz w:val="36"/>
          <w:szCs w:val="36"/>
        </w:rPr>
      </w:pPr>
      <w:r w:rsidRPr="005C21D7">
        <w:rPr>
          <w:sz w:val="36"/>
          <w:szCs w:val="36"/>
        </w:rPr>
        <w:t>Fluviul Volga are foarte mulți afluenți, cei mai importanți fiind Kama, Oka, Vetluga și Sura. Volga împreună cu afluenții săi formează sistemul fluviului Volga, care drenează aproape 1.350.000 km2 în cea mai populată zonă a Rusiei. Delta Volgăi are o lungime de aproape 160 km și cuprinde peste 500 de canale și numeroase râuri mai mici. Este cel mai mare estuar din Europa și este singurul loc din Rusia unde se pot întâlni specii de pelicani, flamingo și lotisi. În timpul iernii o mare parte din lungimea Volgăi îngheață timp de aproximativ 3 luni.</w:t>
      </w:r>
    </w:p>
    <w:p w:rsidR="005C21D7" w:rsidRDefault="005C21D7" w:rsidP="005C21D7">
      <w:pPr>
        <w:spacing w:line="240" w:lineRule="auto"/>
        <w:ind w:firstLine="432"/>
        <w:rPr>
          <w:sz w:val="36"/>
          <w:szCs w:val="36"/>
        </w:rPr>
      </w:pPr>
    </w:p>
    <w:p w:rsidR="005C21D7" w:rsidRPr="005C21D7" w:rsidRDefault="005C21D7" w:rsidP="005C21D7">
      <w:pPr>
        <w:pStyle w:val="ListParagraph"/>
        <w:numPr>
          <w:ilvl w:val="0"/>
          <w:numId w:val="1"/>
        </w:numPr>
        <w:spacing w:line="240" w:lineRule="auto"/>
        <w:rPr>
          <w:b/>
          <w:sz w:val="36"/>
          <w:szCs w:val="36"/>
        </w:rPr>
      </w:pPr>
      <w:r w:rsidRPr="005C21D7">
        <w:rPr>
          <w:b/>
          <w:sz w:val="36"/>
          <w:szCs w:val="36"/>
        </w:rPr>
        <w:t>Economie</w:t>
      </w:r>
    </w:p>
    <w:p w:rsidR="005C21D7" w:rsidRPr="005C21D7" w:rsidRDefault="005C21D7" w:rsidP="005C21D7">
      <w:pPr>
        <w:spacing w:line="240" w:lineRule="auto"/>
        <w:ind w:firstLine="432"/>
        <w:rPr>
          <w:sz w:val="36"/>
          <w:szCs w:val="36"/>
        </w:rPr>
      </w:pPr>
      <w:r w:rsidRPr="005C21D7">
        <w:rPr>
          <w:sz w:val="36"/>
          <w:szCs w:val="36"/>
        </w:rPr>
        <w:t>Volga drenează aproape tot vestul Rusiei. Multele lacuri de acumulare de pe cursul său permit realizarea de irigații și producerea de hidroelectricitate. Canalul Moscova-Volga, Canalul Volga-Don și Canalul Volga-Baltic formează o rețea navigabilă ce permite legătura între Moscova și Marea Baltică, Marea Caspi</w:t>
      </w:r>
      <w:r>
        <w:rPr>
          <w:sz w:val="36"/>
          <w:szCs w:val="36"/>
        </w:rPr>
        <w:t>că, Marea Azov și Marea Neagră.</w:t>
      </w:r>
    </w:p>
    <w:p w:rsidR="005C21D7" w:rsidRDefault="005C21D7" w:rsidP="005C21D7">
      <w:pPr>
        <w:spacing w:line="240" w:lineRule="auto"/>
        <w:ind w:firstLine="432"/>
        <w:rPr>
          <w:sz w:val="36"/>
          <w:szCs w:val="36"/>
        </w:rPr>
      </w:pPr>
      <w:r w:rsidRPr="005C21D7">
        <w:rPr>
          <w:sz w:val="36"/>
          <w:szCs w:val="36"/>
        </w:rPr>
        <w:t>Fertilitatea văii râului permite producerea de mari cantități de grâu sau alte cereale. În valea Volgăi se găsește o industrie petrolieră importantă. Printre resursele minerale care se găsesc aici sunt gazele naturale, sarea și carbonatul de potasiu.</w:t>
      </w:r>
    </w:p>
    <w:p w:rsidR="00D15A57" w:rsidRDefault="00D15A57" w:rsidP="00D15A57">
      <w:pPr>
        <w:spacing w:line="240" w:lineRule="auto"/>
        <w:ind w:firstLine="432"/>
        <w:rPr>
          <w:b/>
          <w:sz w:val="36"/>
          <w:szCs w:val="36"/>
        </w:rPr>
      </w:pPr>
    </w:p>
    <w:p w:rsidR="00D15A57" w:rsidRDefault="00D15A57" w:rsidP="00D15A57">
      <w:pPr>
        <w:spacing w:line="240" w:lineRule="auto"/>
        <w:ind w:firstLine="432"/>
        <w:rPr>
          <w:b/>
          <w:sz w:val="36"/>
          <w:szCs w:val="36"/>
        </w:rPr>
      </w:pPr>
    </w:p>
    <w:p w:rsidR="005C21D7" w:rsidRPr="00D15A57" w:rsidRDefault="00D15A57" w:rsidP="00D15A57">
      <w:pPr>
        <w:pStyle w:val="ListParagraph"/>
        <w:numPr>
          <w:ilvl w:val="0"/>
          <w:numId w:val="1"/>
        </w:numPr>
        <w:spacing w:line="240" w:lineRule="auto"/>
        <w:rPr>
          <w:b/>
          <w:sz w:val="36"/>
          <w:szCs w:val="36"/>
        </w:rPr>
      </w:pPr>
      <w:r w:rsidRPr="00D15A57">
        <w:rPr>
          <w:b/>
          <w:sz w:val="36"/>
          <w:szCs w:val="36"/>
        </w:rPr>
        <w:t>Afluenti</w:t>
      </w:r>
    </w:p>
    <w:p w:rsidR="008F3577" w:rsidRDefault="008F3577" w:rsidP="008F3577">
      <w:pPr>
        <w:spacing w:line="240" w:lineRule="auto"/>
        <w:ind w:firstLine="432"/>
        <w:rPr>
          <w:sz w:val="36"/>
          <w:szCs w:val="36"/>
        </w:rPr>
      </w:pPr>
      <w:r>
        <w:rPr>
          <w:sz w:val="36"/>
          <w:szCs w:val="36"/>
        </w:rPr>
        <w:t xml:space="preserve">                                                        </w:t>
      </w:r>
    </w:p>
    <w:tbl>
      <w:tblPr>
        <w:tblStyle w:val="TableGrid"/>
        <w:tblpPr w:leftFromText="180" w:rightFromText="180" w:vertAnchor="text" w:horzAnchor="page" w:tblpX="5324" w:tblpY="663"/>
        <w:tblOverlap w:val="never"/>
        <w:tblW w:w="0" w:type="auto"/>
        <w:tblLook w:val="04A0" w:firstRow="1" w:lastRow="0" w:firstColumn="1" w:lastColumn="0" w:noHBand="0" w:noVBand="1"/>
      </w:tblPr>
      <w:tblGrid>
        <w:gridCol w:w="2880"/>
      </w:tblGrid>
      <w:tr w:rsidR="008F3577" w:rsidTr="008F3577">
        <w:tc>
          <w:tcPr>
            <w:tcW w:w="2880" w:type="dxa"/>
          </w:tcPr>
          <w:p w:rsidR="008F3577" w:rsidRDefault="008F3577" w:rsidP="008F3577">
            <w:pPr>
              <w:jc w:val="center"/>
              <w:rPr>
                <w:sz w:val="36"/>
                <w:szCs w:val="36"/>
              </w:rPr>
            </w:pPr>
            <w:r w:rsidRPr="008F3577">
              <w:rPr>
                <w:sz w:val="36"/>
                <w:szCs w:val="36"/>
              </w:rPr>
              <w:t>Kimrî</w:t>
            </w:r>
          </w:p>
        </w:tc>
      </w:tr>
      <w:tr w:rsidR="008F3577" w:rsidTr="008F3577">
        <w:tc>
          <w:tcPr>
            <w:tcW w:w="2880" w:type="dxa"/>
          </w:tcPr>
          <w:p w:rsidR="008F3577" w:rsidRDefault="008F3577" w:rsidP="008F3577">
            <w:pPr>
              <w:jc w:val="center"/>
              <w:rPr>
                <w:sz w:val="36"/>
                <w:szCs w:val="36"/>
              </w:rPr>
            </w:pPr>
            <w:r w:rsidRPr="008F3577">
              <w:rPr>
                <w:sz w:val="36"/>
                <w:szCs w:val="36"/>
              </w:rPr>
              <w:t>Dubna</w:t>
            </w:r>
          </w:p>
        </w:tc>
      </w:tr>
      <w:tr w:rsidR="008F3577" w:rsidTr="008F3577">
        <w:tc>
          <w:tcPr>
            <w:tcW w:w="2880" w:type="dxa"/>
          </w:tcPr>
          <w:p w:rsidR="008F3577" w:rsidRDefault="008F3577" w:rsidP="008F3577">
            <w:pPr>
              <w:jc w:val="center"/>
              <w:rPr>
                <w:sz w:val="36"/>
                <w:szCs w:val="36"/>
              </w:rPr>
            </w:pPr>
            <w:r w:rsidRPr="008F3577">
              <w:rPr>
                <w:sz w:val="36"/>
                <w:szCs w:val="36"/>
              </w:rPr>
              <w:t>Șoșa</w:t>
            </w:r>
          </w:p>
        </w:tc>
      </w:tr>
      <w:tr w:rsidR="008F3577" w:rsidTr="008F3577">
        <w:tc>
          <w:tcPr>
            <w:tcW w:w="2880" w:type="dxa"/>
          </w:tcPr>
          <w:p w:rsidR="008F3577" w:rsidRDefault="008F3577" w:rsidP="008F3577">
            <w:pPr>
              <w:jc w:val="center"/>
              <w:rPr>
                <w:sz w:val="36"/>
                <w:szCs w:val="36"/>
              </w:rPr>
            </w:pPr>
            <w:r w:rsidRPr="008F3577">
              <w:rPr>
                <w:sz w:val="36"/>
                <w:szCs w:val="36"/>
              </w:rPr>
              <w:t>Tverța</w:t>
            </w:r>
          </w:p>
        </w:tc>
      </w:tr>
    </w:tbl>
    <w:p w:rsidR="008F3577" w:rsidRDefault="008F3577" w:rsidP="008F3577">
      <w:pPr>
        <w:spacing w:line="240" w:lineRule="auto"/>
        <w:ind w:firstLine="432"/>
        <w:rPr>
          <w:sz w:val="36"/>
          <w:szCs w:val="36"/>
        </w:rPr>
      </w:pPr>
    </w:p>
    <w:tbl>
      <w:tblPr>
        <w:tblStyle w:val="TableGrid"/>
        <w:tblpPr w:leftFromText="180" w:rightFromText="180" w:vertAnchor="text" w:tblpY="1"/>
        <w:tblOverlap w:val="never"/>
        <w:tblW w:w="0" w:type="auto"/>
        <w:tblLook w:val="04A0" w:firstRow="1" w:lastRow="0" w:firstColumn="1" w:lastColumn="0" w:noHBand="0" w:noVBand="1"/>
      </w:tblPr>
      <w:tblGrid>
        <w:gridCol w:w="2880"/>
      </w:tblGrid>
      <w:tr w:rsidR="00D15A57" w:rsidTr="00D15A57">
        <w:trPr>
          <w:trHeight w:val="432"/>
        </w:trPr>
        <w:tc>
          <w:tcPr>
            <w:tcW w:w="2880" w:type="dxa"/>
          </w:tcPr>
          <w:p w:rsidR="00D15A57" w:rsidRDefault="00D15A57" w:rsidP="00D15A57">
            <w:pPr>
              <w:rPr>
                <w:sz w:val="36"/>
                <w:szCs w:val="36"/>
              </w:rPr>
            </w:pPr>
            <w:r w:rsidRPr="00D15A57">
              <w:rPr>
                <w:sz w:val="36"/>
                <w:szCs w:val="36"/>
              </w:rPr>
              <w:tab/>
              <w:t>Akhtuba</w:t>
            </w:r>
            <w:r>
              <w:rPr>
                <w:sz w:val="36"/>
                <w:szCs w:val="36"/>
              </w:rPr>
              <w:t xml:space="preserve">      </w:t>
            </w:r>
          </w:p>
        </w:tc>
      </w:tr>
      <w:tr w:rsidR="00D15A57" w:rsidTr="00D15A57">
        <w:trPr>
          <w:trHeight w:val="432"/>
        </w:trPr>
        <w:tc>
          <w:tcPr>
            <w:tcW w:w="2880" w:type="dxa"/>
          </w:tcPr>
          <w:p w:rsidR="00D15A57" w:rsidRDefault="00D15A57" w:rsidP="00D15A57">
            <w:pPr>
              <w:jc w:val="center"/>
              <w:rPr>
                <w:sz w:val="36"/>
                <w:szCs w:val="36"/>
              </w:rPr>
            </w:pPr>
            <w:r w:rsidRPr="00D15A57">
              <w:rPr>
                <w:sz w:val="36"/>
                <w:szCs w:val="36"/>
              </w:rPr>
              <w:t>Samara</w:t>
            </w:r>
          </w:p>
        </w:tc>
      </w:tr>
      <w:tr w:rsidR="00D15A57" w:rsidTr="00D15A57">
        <w:tc>
          <w:tcPr>
            <w:tcW w:w="2880" w:type="dxa"/>
          </w:tcPr>
          <w:p w:rsidR="00D15A57" w:rsidRDefault="00D15A57" w:rsidP="00D15A57">
            <w:pPr>
              <w:jc w:val="center"/>
              <w:rPr>
                <w:sz w:val="36"/>
                <w:szCs w:val="36"/>
              </w:rPr>
            </w:pPr>
            <w:r w:rsidRPr="00D15A57">
              <w:rPr>
                <w:sz w:val="36"/>
                <w:szCs w:val="36"/>
              </w:rPr>
              <w:t>Kama</w:t>
            </w:r>
          </w:p>
        </w:tc>
      </w:tr>
      <w:tr w:rsidR="00D15A57" w:rsidTr="00D15A57">
        <w:tc>
          <w:tcPr>
            <w:tcW w:w="2880" w:type="dxa"/>
          </w:tcPr>
          <w:p w:rsidR="00D15A57" w:rsidRDefault="00D15A57" w:rsidP="008F3577">
            <w:pPr>
              <w:jc w:val="center"/>
              <w:rPr>
                <w:sz w:val="36"/>
                <w:szCs w:val="36"/>
              </w:rPr>
            </w:pPr>
            <w:r>
              <w:rPr>
                <w:sz w:val="36"/>
                <w:szCs w:val="36"/>
              </w:rPr>
              <w:t>Kazanka</w:t>
            </w:r>
          </w:p>
        </w:tc>
      </w:tr>
      <w:tr w:rsidR="00D15A57" w:rsidTr="00D15A57">
        <w:tc>
          <w:tcPr>
            <w:tcW w:w="2880" w:type="dxa"/>
          </w:tcPr>
          <w:p w:rsidR="00D15A57" w:rsidRDefault="00D15A57" w:rsidP="00D15A57">
            <w:pPr>
              <w:jc w:val="center"/>
              <w:rPr>
                <w:sz w:val="36"/>
                <w:szCs w:val="36"/>
              </w:rPr>
            </w:pPr>
            <w:r w:rsidRPr="00D15A57">
              <w:rPr>
                <w:sz w:val="36"/>
                <w:szCs w:val="36"/>
              </w:rPr>
              <w:t>Sviiaga</w:t>
            </w:r>
          </w:p>
        </w:tc>
      </w:tr>
      <w:tr w:rsidR="00D15A57" w:rsidTr="00D15A57">
        <w:tc>
          <w:tcPr>
            <w:tcW w:w="2880" w:type="dxa"/>
          </w:tcPr>
          <w:p w:rsidR="00D15A57" w:rsidRDefault="00D15A57" w:rsidP="00D15A57">
            <w:pPr>
              <w:jc w:val="center"/>
              <w:rPr>
                <w:sz w:val="36"/>
                <w:szCs w:val="36"/>
              </w:rPr>
            </w:pPr>
            <w:r w:rsidRPr="00D15A57">
              <w:rPr>
                <w:sz w:val="36"/>
                <w:szCs w:val="36"/>
              </w:rPr>
              <w:t>Vetluga</w:t>
            </w:r>
          </w:p>
        </w:tc>
      </w:tr>
      <w:tr w:rsidR="00D15A57" w:rsidTr="00D15A57">
        <w:tc>
          <w:tcPr>
            <w:tcW w:w="2880" w:type="dxa"/>
          </w:tcPr>
          <w:p w:rsidR="00D15A57" w:rsidRDefault="00D15A57" w:rsidP="00D15A57">
            <w:pPr>
              <w:jc w:val="center"/>
              <w:rPr>
                <w:sz w:val="36"/>
                <w:szCs w:val="36"/>
              </w:rPr>
            </w:pPr>
            <w:r w:rsidRPr="00D15A57">
              <w:rPr>
                <w:sz w:val="36"/>
                <w:szCs w:val="36"/>
              </w:rPr>
              <w:t>Sura</w:t>
            </w:r>
          </w:p>
        </w:tc>
      </w:tr>
      <w:tr w:rsidR="00D15A57" w:rsidTr="00D15A57">
        <w:tc>
          <w:tcPr>
            <w:tcW w:w="2880" w:type="dxa"/>
          </w:tcPr>
          <w:p w:rsidR="00D15A57" w:rsidRDefault="00D15A57" w:rsidP="00D15A57">
            <w:pPr>
              <w:jc w:val="center"/>
              <w:rPr>
                <w:sz w:val="36"/>
                <w:szCs w:val="36"/>
              </w:rPr>
            </w:pPr>
            <w:r w:rsidRPr="00D15A57">
              <w:rPr>
                <w:sz w:val="36"/>
                <w:szCs w:val="36"/>
              </w:rPr>
              <w:t>Kerjeneț</w:t>
            </w:r>
          </w:p>
        </w:tc>
      </w:tr>
      <w:tr w:rsidR="00D15A57" w:rsidTr="00D15A57">
        <w:tc>
          <w:tcPr>
            <w:tcW w:w="2880" w:type="dxa"/>
          </w:tcPr>
          <w:p w:rsidR="00D15A57" w:rsidRDefault="00D15A57" w:rsidP="00D15A57">
            <w:pPr>
              <w:jc w:val="center"/>
              <w:rPr>
                <w:sz w:val="36"/>
                <w:szCs w:val="36"/>
              </w:rPr>
            </w:pPr>
            <w:r w:rsidRPr="00D15A57">
              <w:rPr>
                <w:sz w:val="36"/>
                <w:szCs w:val="36"/>
              </w:rPr>
              <w:t>Oka</w:t>
            </w:r>
          </w:p>
        </w:tc>
      </w:tr>
      <w:tr w:rsidR="00D15A57" w:rsidTr="00D15A57">
        <w:tc>
          <w:tcPr>
            <w:tcW w:w="2880" w:type="dxa"/>
          </w:tcPr>
          <w:p w:rsidR="00D15A57" w:rsidRDefault="00D15A57" w:rsidP="00D15A57">
            <w:pPr>
              <w:jc w:val="center"/>
              <w:rPr>
                <w:sz w:val="36"/>
                <w:szCs w:val="36"/>
              </w:rPr>
            </w:pPr>
            <w:r w:rsidRPr="00D15A57">
              <w:rPr>
                <w:sz w:val="36"/>
                <w:szCs w:val="36"/>
              </w:rPr>
              <w:t>Uzola</w:t>
            </w:r>
          </w:p>
        </w:tc>
      </w:tr>
      <w:tr w:rsidR="00D15A57" w:rsidTr="00D15A57">
        <w:tc>
          <w:tcPr>
            <w:tcW w:w="2880" w:type="dxa"/>
          </w:tcPr>
          <w:p w:rsidR="00D15A57" w:rsidRDefault="00D15A57" w:rsidP="00D15A57">
            <w:pPr>
              <w:jc w:val="center"/>
              <w:rPr>
                <w:sz w:val="36"/>
                <w:szCs w:val="36"/>
              </w:rPr>
            </w:pPr>
            <w:r w:rsidRPr="00D15A57">
              <w:rPr>
                <w:sz w:val="36"/>
                <w:szCs w:val="36"/>
              </w:rPr>
              <w:t>Unja</w:t>
            </w:r>
          </w:p>
        </w:tc>
      </w:tr>
      <w:tr w:rsidR="00D15A57" w:rsidTr="00D15A57">
        <w:tc>
          <w:tcPr>
            <w:tcW w:w="2880" w:type="dxa"/>
          </w:tcPr>
          <w:p w:rsidR="00D15A57" w:rsidRDefault="00D15A57" w:rsidP="00D15A57">
            <w:pPr>
              <w:jc w:val="center"/>
              <w:rPr>
                <w:sz w:val="36"/>
                <w:szCs w:val="36"/>
              </w:rPr>
            </w:pPr>
            <w:r w:rsidRPr="00D15A57">
              <w:rPr>
                <w:sz w:val="36"/>
                <w:szCs w:val="36"/>
              </w:rPr>
              <w:t>Kostroma</w:t>
            </w:r>
          </w:p>
        </w:tc>
      </w:tr>
      <w:tr w:rsidR="00D15A57" w:rsidTr="00D15A57">
        <w:tc>
          <w:tcPr>
            <w:tcW w:w="2880" w:type="dxa"/>
          </w:tcPr>
          <w:p w:rsidR="00D15A57" w:rsidRDefault="008F3577" w:rsidP="008F3577">
            <w:pPr>
              <w:jc w:val="center"/>
              <w:rPr>
                <w:sz w:val="36"/>
                <w:szCs w:val="36"/>
              </w:rPr>
            </w:pPr>
            <w:r w:rsidRPr="008F3577">
              <w:rPr>
                <w:sz w:val="36"/>
                <w:szCs w:val="36"/>
              </w:rPr>
              <w:t>Kotorosl</w:t>
            </w:r>
          </w:p>
        </w:tc>
      </w:tr>
      <w:tr w:rsidR="00D15A57" w:rsidTr="00D15A57">
        <w:tc>
          <w:tcPr>
            <w:tcW w:w="2880" w:type="dxa"/>
          </w:tcPr>
          <w:p w:rsidR="00D15A57" w:rsidRDefault="008F3577" w:rsidP="008F3577">
            <w:pPr>
              <w:jc w:val="center"/>
              <w:rPr>
                <w:sz w:val="36"/>
                <w:szCs w:val="36"/>
              </w:rPr>
            </w:pPr>
            <w:r w:rsidRPr="008F3577">
              <w:rPr>
                <w:sz w:val="36"/>
                <w:szCs w:val="36"/>
              </w:rPr>
              <w:t>Șeksna</w:t>
            </w:r>
          </w:p>
        </w:tc>
      </w:tr>
      <w:tr w:rsidR="00D15A57" w:rsidTr="00D15A57">
        <w:tc>
          <w:tcPr>
            <w:tcW w:w="2880" w:type="dxa"/>
          </w:tcPr>
          <w:p w:rsidR="00D15A57" w:rsidRDefault="008F3577" w:rsidP="008F3577">
            <w:pPr>
              <w:jc w:val="center"/>
              <w:rPr>
                <w:sz w:val="36"/>
                <w:szCs w:val="36"/>
              </w:rPr>
            </w:pPr>
            <w:r w:rsidRPr="008F3577">
              <w:rPr>
                <w:sz w:val="36"/>
                <w:szCs w:val="36"/>
              </w:rPr>
              <w:t>Mologa</w:t>
            </w:r>
          </w:p>
        </w:tc>
      </w:tr>
      <w:tr w:rsidR="00D15A57" w:rsidTr="00D15A57">
        <w:tc>
          <w:tcPr>
            <w:tcW w:w="2880" w:type="dxa"/>
          </w:tcPr>
          <w:p w:rsidR="00D15A57" w:rsidRDefault="008F3577" w:rsidP="008F3577">
            <w:pPr>
              <w:jc w:val="center"/>
              <w:rPr>
                <w:sz w:val="36"/>
                <w:szCs w:val="36"/>
              </w:rPr>
            </w:pPr>
            <w:r w:rsidRPr="008F3577">
              <w:rPr>
                <w:sz w:val="36"/>
                <w:szCs w:val="36"/>
              </w:rPr>
              <w:t>Kașinka</w:t>
            </w:r>
          </w:p>
        </w:tc>
      </w:tr>
      <w:tr w:rsidR="00D15A57" w:rsidTr="00D15A57">
        <w:tc>
          <w:tcPr>
            <w:tcW w:w="2880" w:type="dxa"/>
          </w:tcPr>
          <w:p w:rsidR="00D15A57" w:rsidRDefault="008F3577" w:rsidP="008F3577">
            <w:pPr>
              <w:jc w:val="center"/>
              <w:rPr>
                <w:sz w:val="36"/>
                <w:szCs w:val="36"/>
              </w:rPr>
            </w:pPr>
            <w:r w:rsidRPr="008F3577">
              <w:rPr>
                <w:sz w:val="36"/>
                <w:szCs w:val="36"/>
              </w:rPr>
              <w:t>Nerl</w:t>
            </w:r>
          </w:p>
        </w:tc>
      </w:tr>
    </w:tbl>
    <w:p w:rsidR="00D15A57" w:rsidRPr="005C21D7" w:rsidRDefault="00D15A57" w:rsidP="008F3577">
      <w:pPr>
        <w:spacing w:line="240" w:lineRule="auto"/>
        <w:ind w:firstLine="432"/>
        <w:rPr>
          <w:sz w:val="36"/>
          <w:szCs w:val="36"/>
        </w:rPr>
      </w:pPr>
    </w:p>
    <w:sectPr w:rsidR="00D15A57" w:rsidRPr="005C21D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69F" w:rsidRDefault="0010069F" w:rsidP="00D15A57">
      <w:pPr>
        <w:spacing w:after="0" w:line="240" w:lineRule="auto"/>
      </w:pPr>
      <w:r>
        <w:separator/>
      </w:r>
    </w:p>
  </w:endnote>
  <w:endnote w:type="continuationSeparator" w:id="0">
    <w:p w:rsidR="0010069F" w:rsidRDefault="0010069F" w:rsidP="00D15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605171"/>
      <w:docPartObj>
        <w:docPartGallery w:val="Page Numbers (Bottom of Page)"/>
        <w:docPartUnique/>
      </w:docPartObj>
    </w:sdtPr>
    <w:sdtEndPr>
      <w:rPr>
        <w:noProof/>
      </w:rPr>
    </w:sdtEndPr>
    <w:sdtContent>
      <w:p w:rsidR="00EF78DA" w:rsidRDefault="00EF78DA">
        <w:pPr>
          <w:pStyle w:val="Footer"/>
          <w:jc w:val="center"/>
        </w:pPr>
        <w:r>
          <w:fldChar w:fldCharType="begin"/>
        </w:r>
        <w:r>
          <w:instrText xml:space="preserve"> PAGE   \* MERGEFORMAT </w:instrText>
        </w:r>
        <w:r>
          <w:fldChar w:fldCharType="separate"/>
        </w:r>
        <w:r w:rsidR="0010069F">
          <w:rPr>
            <w:noProof/>
          </w:rPr>
          <w:t>1</w:t>
        </w:r>
        <w:r>
          <w:rPr>
            <w:noProof/>
          </w:rPr>
          <w:fldChar w:fldCharType="end"/>
        </w:r>
      </w:p>
    </w:sdtContent>
  </w:sdt>
  <w:p w:rsidR="00EF78DA" w:rsidRDefault="00EF78DA">
    <w:pPr>
      <w:pStyle w:val="Footer"/>
    </w:pPr>
    <w:r>
      <w:t xml:space="preserve">                                                                                                              Suciu Larisa, clasa a IX-a 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69F" w:rsidRDefault="0010069F" w:rsidP="00D15A57">
      <w:pPr>
        <w:spacing w:after="0" w:line="240" w:lineRule="auto"/>
      </w:pPr>
      <w:r>
        <w:separator/>
      </w:r>
    </w:p>
  </w:footnote>
  <w:footnote w:type="continuationSeparator" w:id="0">
    <w:p w:rsidR="0010069F" w:rsidRDefault="0010069F" w:rsidP="00D15A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F3798"/>
    <w:multiLevelType w:val="hybridMultilevel"/>
    <w:tmpl w:val="C8D4F97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1D7"/>
    <w:rsid w:val="00033CDC"/>
    <w:rsid w:val="0010069F"/>
    <w:rsid w:val="005C21D7"/>
    <w:rsid w:val="00896322"/>
    <w:rsid w:val="008F3577"/>
    <w:rsid w:val="00D15A57"/>
    <w:rsid w:val="00EF7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577"/>
  </w:style>
  <w:style w:type="paragraph" w:styleId="Heading1">
    <w:name w:val="heading 1"/>
    <w:basedOn w:val="Normal"/>
    <w:next w:val="Normal"/>
    <w:link w:val="Heading1Char"/>
    <w:uiPriority w:val="9"/>
    <w:qFormat/>
    <w:rsid w:val="005C21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D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C21D7"/>
    <w:pPr>
      <w:ind w:left="720"/>
      <w:contextualSpacing/>
    </w:pPr>
  </w:style>
  <w:style w:type="table" w:styleId="TableGrid">
    <w:name w:val="Table Grid"/>
    <w:basedOn w:val="TableNormal"/>
    <w:uiPriority w:val="59"/>
    <w:rsid w:val="005C21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5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A57"/>
  </w:style>
  <w:style w:type="paragraph" w:styleId="Footer">
    <w:name w:val="footer"/>
    <w:basedOn w:val="Normal"/>
    <w:link w:val="FooterChar"/>
    <w:uiPriority w:val="99"/>
    <w:unhideWhenUsed/>
    <w:rsid w:val="00D15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A57"/>
  </w:style>
  <w:style w:type="paragraph" w:styleId="BalloonText">
    <w:name w:val="Balloon Text"/>
    <w:basedOn w:val="Normal"/>
    <w:link w:val="BalloonTextChar"/>
    <w:uiPriority w:val="99"/>
    <w:semiHidden/>
    <w:unhideWhenUsed/>
    <w:rsid w:val="008F3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5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577"/>
  </w:style>
  <w:style w:type="paragraph" w:styleId="Heading1">
    <w:name w:val="heading 1"/>
    <w:basedOn w:val="Normal"/>
    <w:next w:val="Normal"/>
    <w:link w:val="Heading1Char"/>
    <w:uiPriority w:val="9"/>
    <w:qFormat/>
    <w:rsid w:val="005C21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D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C21D7"/>
    <w:pPr>
      <w:ind w:left="720"/>
      <w:contextualSpacing/>
    </w:pPr>
  </w:style>
  <w:style w:type="table" w:styleId="TableGrid">
    <w:name w:val="Table Grid"/>
    <w:basedOn w:val="TableNormal"/>
    <w:uiPriority w:val="59"/>
    <w:rsid w:val="005C21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5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A57"/>
  </w:style>
  <w:style w:type="paragraph" w:styleId="Footer">
    <w:name w:val="footer"/>
    <w:basedOn w:val="Normal"/>
    <w:link w:val="FooterChar"/>
    <w:uiPriority w:val="99"/>
    <w:unhideWhenUsed/>
    <w:rsid w:val="00D15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A57"/>
  </w:style>
  <w:style w:type="paragraph" w:styleId="BalloonText">
    <w:name w:val="Balloon Text"/>
    <w:basedOn w:val="Normal"/>
    <w:link w:val="BalloonTextChar"/>
    <w:uiPriority w:val="99"/>
    <w:semiHidden/>
    <w:unhideWhenUsed/>
    <w:rsid w:val="008F3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5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445</Words>
  <Characters>2542</Characters>
  <Application>Microsoft Office Word</Application>
  <DocSecurity>0</DocSecurity>
  <Lines>21</Lines>
  <Paragraphs>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Bazinul hidrografic al fluviului Volga</vt:lpstr>
    </vt:vector>
  </TitlesOfParts>
  <Company/>
  <LinksUpToDate>false</LinksUpToDate>
  <CharactersWithSpaces>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2020-03-24T18:34:00Z</dcterms:created>
  <dcterms:modified xsi:type="dcterms:W3CDTF">2020-03-24T19:11:00Z</dcterms:modified>
</cp:coreProperties>
</file>